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5688C" w14:textId="77777777" w:rsidR="00E271B7" w:rsidRDefault="00E271B7" w:rsidP="00E271B7">
      <w:pPr>
        <w:spacing w:after="20" w:line="240" w:lineRule="auto"/>
        <w:jc w:val="right"/>
        <w:rPr>
          <w:b/>
        </w:rPr>
      </w:pPr>
    </w:p>
    <w:p w14:paraId="0CC881A7" w14:textId="77777777" w:rsidR="00842806" w:rsidRDefault="00E271B7" w:rsidP="00E271B7">
      <w:pPr>
        <w:spacing w:after="20" w:line="240" w:lineRule="auto"/>
        <w:jc w:val="right"/>
        <w:rPr>
          <w:b/>
        </w:rPr>
      </w:pPr>
      <w:r>
        <w:rPr>
          <w:b/>
        </w:rPr>
        <w:t xml:space="preserve">Załącznik nr </w:t>
      </w:r>
      <w:r w:rsidR="00900D75">
        <w:rPr>
          <w:b/>
        </w:rPr>
        <w:t>1.</w:t>
      </w:r>
      <w:r w:rsidR="0022373E">
        <w:rPr>
          <w:b/>
        </w:rPr>
        <w:t>4</w:t>
      </w:r>
    </w:p>
    <w:p w14:paraId="03229F64" w14:textId="77777777" w:rsidR="00E271B7" w:rsidRPr="00E271B7" w:rsidRDefault="00E271B7" w:rsidP="00E271B7">
      <w:pPr>
        <w:spacing w:after="20" w:line="240" w:lineRule="auto"/>
        <w:jc w:val="right"/>
        <w:rPr>
          <w:b/>
        </w:rPr>
      </w:pPr>
      <w:r>
        <w:rPr>
          <w:b/>
        </w:rPr>
        <w:t>Do Regulaminu konkursu</w:t>
      </w:r>
    </w:p>
    <w:p w14:paraId="624969E3" w14:textId="77777777" w:rsidR="00907C88" w:rsidRDefault="00907C88" w:rsidP="00842806">
      <w:pPr>
        <w:spacing w:after="20" w:line="240" w:lineRule="auto"/>
        <w:ind w:left="284"/>
        <w:jc w:val="center"/>
        <w:rPr>
          <w:b/>
          <w:sz w:val="28"/>
          <w:szCs w:val="28"/>
        </w:rPr>
      </w:pPr>
    </w:p>
    <w:p w14:paraId="357009E7" w14:textId="77777777" w:rsidR="00D40F64" w:rsidRPr="00D40F64" w:rsidRDefault="00D40F64" w:rsidP="00D40F64">
      <w:pPr>
        <w:rPr>
          <w:b/>
        </w:rPr>
      </w:pPr>
      <w:r w:rsidRPr="00D40F64">
        <w:rPr>
          <w:b/>
        </w:rPr>
        <w:t xml:space="preserve">WYMAGANIA DLA INSTALACJI GRZEWCZEJ  </w:t>
      </w:r>
    </w:p>
    <w:p w14:paraId="6DE48EAB" w14:textId="77777777" w:rsidR="00FA49EB" w:rsidRPr="00FA49EB" w:rsidRDefault="00FA49EB" w:rsidP="00FA49EB">
      <w:pPr>
        <w:pStyle w:val="Akapitzlist"/>
        <w:ind w:left="0"/>
        <w:jc w:val="both"/>
      </w:pPr>
      <w:r w:rsidRPr="00FA49EB">
        <w:t xml:space="preserve">Źródłem ciepła dla budynku ma być wielofunkcyjny węzeł dla potrzeb centralnego ogrzewania, ciepłej wody użytkowej i ciepła technologicznego, oraz dodatkowo węzeł ma być wspomagany poprzez instalację oparte o odnawialne źródła energii. Węzeł winien być wyposażony w moduł pomiarowo-regulacyjny składający się m. in. z: zaworów odcinających węzeł od przyłącza cieplnego, części filtracyjno-pomiarowej wyposażonej w filtr wody sieciowej oraz zestaw manometrów i termometrów, zawór regulacyjny na przewodzie powrotnym, licznik ciepła (ultradźwiękowy) z przepływomierzem oraz zestawem czujników temperatury wody sieciowej. Do wymiennika w węźle cieplnym powinny być podłączone centrale wentylacyjne. </w:t>
      </w:r>
    </w:p>
    <w:p w14:paraId="744234BF" w14:textId="77777777" w:rsidR="00FA49EB" w:rsidRPr="00FA49EB" w:rsidRDefault="00FA49EB" w:rsidP="00FA49EB">
      <w:pPr>
        <w:pStyle w:val="Akapitzlist"/>
        <w:ind w:left="0"/>
        <w:jc w:val="both"/>
      </w:pPr>
      <w:r w:rsidRPr="00FA49EB">
        <w:t xml:space="preserve">Całość układu instalacji grzewczej ma zostać wyposażona w kompletny układ automatycznej regulacji oraz sterowania. Regulację hydrauliczną całej instalacji centralnego ogrzewania należy zapewnić przez zastosowanie m. in. zaworów równoważących i zaworów grzejnikowych. Zapewnić możliwość odpowietrzania instalacji centralnego ogrzewania np. przez odpowietrzniki miejscowe, zlokalizowane przy każdym grzejniku oraz na każdym pionie głównym.  W najwyższych punktach instalacji zamontowane będą automatyczne zawory odpowietrzające. Wszystkie przewody grzewcze wymagają izolacji termicznej zgodnej z normami branżowymi i dostosowanych do panujących warunków zewnętrznych. Zużycie energii na potrzeby ogrzewania rejestrowane będzie przez licznik energii cieplnej połączony z systemem zarządzania budynkiem (BMS). </w:t>
      </w:r>
    </w:p>
    <w:p w14:paraId="2AEE82B1" w14:textId="77777777" w:rsidR="00FA49EB" w:rsidRPr="00FA49EB" w:rsidRDefault="00FA49EB" w:rsidP="00FA49EB">
      <w:pPr>
        <w:pStyle w:val="Akapitzlist"/>
        <w:ind w:left="0"/>
        <w:jc w:val="both"/>
      </w:pPr>
      <w:r w:rsidRPr="00FA49EB">
        <w:t xml:space="preserve">Jak podstawowy typ ogrzewania dla całego budynku należy przewidzieć ogrzewanie grzejnikowe z podziałem na logiczne strefy budynku umożliwiające ich indywidualną regulację w tym temperaturową. </w:t>
      </w:r>
    </w:p>
    <w:p w14:paraId="1B188B28" w14:textId="77777777" w:rsidR="00FA49EB" w:rsidRPr="00FA49EB" w:rsidRDefault="00FA49EB" w:rsidP="00FA49EB">
      <w:pPr>
        <w:pStyle w:val="Akapitzlist"/>
        <w:ind w:left="0"/>
        <w:jc w:val="both"/>
      </w:pPr>
      <w:r w:rsidRPr="00FA49EB">
        <w:t>Instalacja ciepła technologicznego zasilać będzie centrale wentylacyjne oraz kurtyny powietrzne  zabezpieczające przed napływem zimnego powietrza.</w:t>
      </w:r>
    </w:p>
    <w:p w14:paraId="179F429E" w14:textId="77777777" w:rsidR="00FA49EB" w:rsidRPr="00FA49EB" w:rsidRDefault="00FA49EB" w:rsidP="00FA49EB">
      <w:pPr>
        <w:pStyle w:val="Akapitzlist"/>
        <w:ind w:left="0"/>
        <w:jc w:val="both"/>
      </w:pPr>
      <w:r w:rsidRPr="00FA49EB">
        <w:t>Należy uwzględnić system podgrzewania pochylni garażowej oraz placu techniczno-manewrowego  za pomocą ciepła technologicznego, który będzie działał w okresie zimowym.</w:t>
      </w:r>
    </w:p>
    <w:p w14:paraId="53CB6D02" w14:textId="77777777" w:rsidR="00FA49EB" w:rsidRPr="00FA49EB" w:rsidRDefault="00FA49EB" w:rsidP="00FA49EB">
      <w:pPr>
        <w:pStyle w:val="Akapitzlist"/>
        <w:ind w:left="0"/>
        <w:jc w:val="both"/>
      </w:pPr>
      <w:r w:rsidRPr="00FA49EB">
        <w:t xml:space="preserve">Wszystkie pomieszczenia muszą posiadać wentylację. Wentylacja realizowana będzie poprzez centrale wentylacyjne wyposażone w nagrzewnice, chłodnice oraz układy odzysku ciepła/chłodu. Powietrzne rozprowadzone zostanie systemem kanałów a nawiew/wywiew z pomieszczeń przewidzieć należy poprzez </w:t>
      </w:r>
      <w:proofErr w:type="spellStart"/>
      <w:r w:rsidRPr="00FA49EB">
        <w:t>nawiewnki</w:t>
      </w:r>
      <w:proofErr w:type="spellEnd"/>
      <w:r w:rsidRPr="00FA49EB">
        <w:t>/</w:t>
      </w:r>
      <w:proofErr w:type="spellStart"/>
      <w:r w:rsidRPr="00FA49EB">
        <w:t>wywiewniki</w:t>
      </w:r>
      <w:proofErr w:type="spellEnd"/>
      <w:r w:rsidRPr="00FA49EB">
        <w:t xml:space="preserve"> wirowe ze skrzynką rozprężną. Wszystkie elementy wentylacji należy izolować. Należy przewidzieć dla poszczególnych stref funkcjonalnych możliwość czasowego wyłączania systemu (podczas nieużytkowania ), a także możliwość zwiększania zapotrzebowania w przypadku pełnego obłożenia. Zwiększyć wydajność wentylacji w prysznicach. </w:t>
      </w:r>
    </w:p>
    <w:p w14:paraId="3E21B5C0" w14:textId="77777777" w:rsidR="00FA49EB" w:rsidRPr="00FA49EB" w:rsidRDefault="00FA49EB" w:rsidP="00FA49EB">
      <w:pPr>
        <w:pStyle w:val="Akapitzlist"/>
        <w:ind w:left="0"/>
        <w:jc w:val="both"/>
      </w:pPr>
    </w:p>
    <w:p w14:paraId="2E46604A" w14:textId="77777777" w:rsidR="00FA49EB" w:rsidRDefault="00FA49EB" w:rsidP="00FA49EB">
      <w:pPr>
        <w:pStyle w:val="Akapitzlist"/>
        <w:ind w:left="0"/>
        <w:jc w:val="both"/>
      </w:pPr>
      <w:r w:rsidRPr="00FA49EB">
        <w:t>Dodatkowo dla poszczególnych pomieszczeń należy przewidzieć montaż indywidualnych freonowych układów klimatyzacji z klimatyzatorami kanałowymi/sufitowymi. Całość układu wyposażona zostanie w kompletny układ automatycznej regulacji oraz sterowania.</w:t>
      </w:r>
      <w:r w:rsidRPr="00D40F64">
        <w:t xml:space="preserve"> </w:t>
      </w:r>
    </w:p>
    <w:p w14:paraId="435BA4E9" w14:textId="77777777" w:rsidR="00FA49EB" w:rsidRDefault="00FA49EB" w:rsidP="00FA49EB">
      <w:pPr>
        <w:pStyle w:val="Akapitzlist"/>
        <w:ind w:left="0"/>
        <w:jc w:val="both"/>
      </w:pPr>
    </w:p>
    <w:p w14:paraId="79E6FB39" w14:textId="77777777" w:rsidR="00FA49EB" w:rsidRPr="00D40F64" w:rsidRDefault="00FA49EB" w:rsidP="00FA49EB">
      <w:pPr>
        <w:pStyle w:val="Akapitzlist"/>
        <w:ind w:left="0"/>
        <w:jc w:val="both"/>
      </w:pPr>
    </w:p>
    <w:p w14:paraId="4128D9A0" w14:textId="77777777" w:rsidR="00805B9A" w:rsidRPr="00805B9A" w:rsidRDefault="00805B9A" w:rsidP="00D14ED7">
      <w:pPr>
        <w:pStyle w:val="Akapitzlist"/>
        <w:ind w:left="0"/>
        <w:rPr>
          <w:b/>
        </w:rPr>
      </w:pPr>
      <w:r w:rsidRPr="00805B9A">
        <w:rPr>
          <w:b/>
        </w:rPr>
        <w:lastRenderedPageBreak/>
        <w:t xml:space="preserve">WYMAGANIA DLA SYSTEMU ODDYMIANIA I PRZEWIETRZANIA </w:t>
      </w:r>
    </w:p>
    <w:p w14:paraId="5731A5F7" w14:textId="77777777" w:rsidR="00805B9A" w:rsidRPr="00805B9A" w:rsidRDefault="00805B9A" w:rsidP="00D14ED7">
      <w:pPr>
        <w:pStyle w:val="Akapitzlist"/>
        <w:ind w:left="0"/>
        <w:rPr>
          <w:b/>
        </w:rPr>
      </w:pPr>
      <w:r w:rsidRPr="00805B9A">
        <w:rPr>
          <w:b/>
        </w:rPr>
        <w:t xml:space="preserve"> </w:t>
      </w:r>
    </w:p>
    <w:p w14:paraId="26B8E294" w14:textId="77777777" w:rsidR="00805B9A" w:rsidRPr="00805B9A" w:rsidRDefault="00805B9A" w:rsidP="00D14ED7">
      <w:pPr>
        <w:pStyle w:val="Akapitzlist"/>
        <w:ind w:left="0"/>
        <w:jc w:val="both"/>
      </w:pPr>
      <w:r w:rsidRPr="00805B9A">
        <w:t>W projekcie należy przewidzieć kompletną instalację oddymiania grawitacyjnego</w:t>
      </w:r>
      <w:r>
        <w:t xml:space="preserve"> dla </w:t>
      </w:r>
      <w:r w:rsidRPr="00805B9A">
        <w:t xml:space="preserve"> klat</w:t>
      </w:r>
      <w:r>
        <w:t>ek</w:t>
      </w:r>
      <w:r w:rsidRPr="00805B9A">
        <w:t xml:space="preserve"> schodo</w:t>
      </w:r>
      <w:r>
        <w:t>wych oraz wszystkich przestrzeni w których zastosowanie tego systemu będą wymagały rozwiązania projektowe</w:t>
      </w:r>
      <w:r w:rsidRPr="00805B9A">
        <w:t>. Czerpnie świeżego powietrza muszą posiadać filtry. Czerpnie świeżego powietrza muszą być tak umieszczone, aby nie zbierały powietrza z wyrzutni zadymionego powietrza.  System oddymiania powinien mieć możliwość uruchomienia automatycznego oraz ręcznego niezależnie dla każdej strefy przeciwpożarowej. Klapy oddymiające zabezpieczyć tak, aby uniemożliwić przedostanie się przez nie niepożądanych osób i zwierząt.</w:t>
      </w:r>
    </w:p>
    <w:p w14:paraId="1DD9062F" w14:textId="77777777" w:rsidR="00805B9A" w:rsidRDefault="00805B9A" w:rsidP="00D14ED7">
      <w:pPr>
        <w:pStyle w:val="Akapitzlist"/>
        <w:ind w:left="0"/>
        <w:rPr>
          <w:b/>
        </w:rPr>
      </w:pPr>
    </w:p>
    <w:p w14:paraId="29CEF851" w14:textId="77777777" w:rsidR="00805B9A" w:rsidRPr="00805B9A" w:rsidRDefault="00805B9A" w:rsidP="00D14ED7">
      <w:pPr>
        <w:pStyle w:val="Akapitzlist"/>
        <w:ind w:left="0"/>
        <w:rPr>
          <w:b/>
        </w:rPr>
      </w:pPr>
      <w:r w:rsidRPr="00805B9A">
        <w:rPr>
          <w:b/>
        </w:rPr>
        <w:t xml:space="preserve">WYMAGANIA DLA INSTALACJI PRZECIWPOŻAROWEJ ORAZ SYGNALIZACJI POŻARU </w:t>
      </w:r>
    </w:p>
    <w:p w14:paraId="0418FA98" w14:textId="77777777" w:rsidR="00805B9A" w:rsidRPr="00805B9A" w:rsidRDefault="00805B9A" w:rsidP="00D14ED7">
      <w:pPr>
        <w:pStyle w:val="Akapitzlist"/>
        <w:ind w:left="0"/>
        <w:rPr>
          <w:b/>
        </w:rPr>
      </w:pPr>
      <w:r w:rsidRPr="00805B9A">
        <w:rPr>
          <w:b/>
        </w:rPr>
        <w:t xml:space="preserve"> </w:t>
      </w:r>
    </w:p>
    <w:p w14:paraId="4D52516A" w14:textId="77777777" w:rsidR="00D14ED7" w:rsidRPr="00805B9A" w:rsidRDefault="00D14ED7" w:rsidP="00D14ED7">
      <w:pPr>
        <w:pStyle w:val="Akapitzlist"/>
        <w:numPr>
          <w:ilvl w:val="0"/>
          <w:numId w:val="7"/>
        </w:numPr>
        <w:ind w:left="0" w:hanging="141"/>
        <w:jc w:val="both"/>
      </w:pPr>
      <w:r w:rsidRPr="00805B9A">
        <w:t>Instalacja przeciwpożarowa.</w:t>
      </w:r>
    </w:p>
    <w:p w14:paraId="6A0A3230" w14:textId="77777777" w:rsidR="00805B9A" w:rsidRPr="00805B9A" w:rsidRDefault="00805B9A" w:rsidP="00D14ED7">
      <w:pPr>
        <w:pStyle w:val="Akapitzlist"/>
        <w:ind w:left="0"/>
        <w:jc w:val="both"/>
      </w:pPr>
      <w:r w:rsidRPr="00805B9A">
        <w:t xml:space="preserve">Obiekt należy wyposażyć w wodną instalację hydrantową. Instalację ppoż. należy zaprojektować  </w:t>
      </w:r>
      <w:r w:rsidR="00D14ED7">
        <w:br/>
      </w:r>
      <w:r w:rsidRPr="00805B9A">
        <w:t xml:space="preserve">w oparciu o obowiązujące przepisy w Polsce.  Lokalizację oraz liczbę hydrantów przewidzieć tak, aby zapewnić ich zasięg do całej powierzchni obsługiwanej strefy pożarowej. </w:t>
      </w:r>
      <w:r>
        <w:t xml:space="preserve">W zależności od przyjętych rozwiązań projektowych dla </w:t>
      </w:r>
      <w:r w:rsidRPr="00805B9A">
        <w:t xml:space="preserve"> garażu podziemnego należy </w:t>
      </w:r>
      <w:r>
        <w:t>przyjąć rozwiązania techniczne przewidziane Polskim prawem.</w:t>
      </w:r>
    </w:p>
    <w:p w14:paraId="24343DBF" w14:textId="77777777" w:rsidR="00805B9A" w:rsidRPr="00805B9A" w:rsidRDefault="00805B9A" w:rsidP="00D14ED7">
      <w:pPr>
        <w:pStyle w:val="Akapitzlist"/>
        <w:numPr>
          <w:ilvl w:val="0"/>
          <w:numId w:val="7"/>
        </w:numPr>
        <w:ind w:left="0" w:hanging="141"/>
        <w:jc w:val="both"/>
      </w:pPr>
      <w:r w:rsidRPr="00805B9A">
        <w:t xml:space="preserve">System sygnalizacji pożaru </w:t>
      </w:r>
    </w:p>
    <w:p w14:paraId="033187DB" w14:textId="77777777" w:rsidR="00805B9A" w:rsidRDefault="00805B9A" w:rsidP="00D14ED7">
      <w:pPr>
        <w:pStyle w:val="Akapitzlist"/>
        <w:ind w:left="0"/>
        <w:jc w:val="both"/>
      </w:pPr>
      <w:r w:rsidRPr="00805B9A">
        <w:t xml:space="preserve">Automatyczny system sygnalizacji pożaru umożliwi wykrycie pożaru oraz sygnalizowanie  </w:t>
      </w:r>
      <w:r w:rsidR="00D14ED7">
        <w:br/>
      </w:r>
      <w:r w:rsidRPr="00805B9A">
        <w:t>i alarmowanie o pożarze we wszystkich pomieszczeniach projektowanego budynku. Ochronie podlegają wszystkie pomieszczenia wraz z przestrzeniami nad sufitami podwieszonymi. System ochrony pożarowej będzie zapewniał wezwanie Państwowej Straży Pożarnej za pomocą systemu transmisji alarmu, właściwe sterowanie urządzeniami przeciwpożarowymi oraz automatyczne wyzwalanie systemów gaszenia oraz systemów oddymiania. Sterowanie centralką alarmową będzie się znajdowało w miejscu przewidzianym dla ochrony/portierni w postaci wyświetlacza LCD. System sygnalizacji pożaru musi współpracować z systemem obecnie działającym na Politechnice Gdańskiej. Szczegółowa funkcjonalność System sygnalizacji pożaru zostanie uzgodniona z Zamawiającym na etapie projektowania.</w:t>
      </w:r>
    </w:p>
    <w:p w14:paraId="6EA96C75" w14:textId="77777777" w:rsidR="00E53AD6" w:rsidRDefault="00E53AD6" w:rsidP="00D14ED7">
      <w:pPr>
        <w:pStyle w:val="Akapitzlist"/>
        <w:ind w:left="0"/>
        <w:rPr>
          <w:b/>
        </w:rPr>
      </w:pPr>
    </w:p>
    <w:p w14:paraId="74B2BA10" w14:textId="77777777" w:rsidR="00805B9A" w:rsidRDefault="001F1308" w:rsidP="00D14ED7">
      <w:pPr>
        <w:pStyle w:val="Akapitzlist"/>
        <w:ind w:left="0"/>
        <w:rPr>
          <w:b/>
        </w:rPr>
      </w:pPr>
      <w:r w:rsidRPr="001F1308">
        <w:rPr>
          <w:b/>
        </w:rPr>
        <w:t xml:space="preserve">WYMAGANIA DLA INSTALACJI TELETECHNICZNEJ </w:t>
      </w:r>
    </w:p>
    <w:p w14:paraId="0798F7DE" w14:textId="77777777" w:rsidR="001F1308" w:rsidRPr="00805B9A" w:rsidRDefault="001F1308" w:rsidP="00D14ED7">
      <w:pPr>
        <w:pStyle w:val="Akapitzlist"/>
        <w:ind w:left="0"/>
        <w:rPr>
          <w:b/>
        </w:rPr>
      </w:pPr>
      <w:r w:rsidRPr="00805B9A">
        <w:rPr>
          <w:b/>
        </w:rPr>
        <w:t xml:space="preserve"> </w:t>
      </w:r>
    </w:p>
    <w:p w14:paraId="1269C376" w14:textId="77777777" w:rsidR="001F1308" w:rsidRDefault="001F1308" w:rsidP="00D14ED7">
      <w:pPr>
        <w:pStyle w:val="Akapitzlist"/>
        <w:ind w:left="0"/>
        <w:jc w:val="both"/>
      </w:pPr>
      <w:r w:rsidRPr="001F1308">
        <w:t xml:space="preserve">Instalacje teletechniczne należy zaprojektować i wykonać zgodnie z obowiązującymi normami </w:t>
      </w:r>
      <w:r w:rsidR="00D14ED7">
        <w:br/>
      </w:r>
      <w:r w:rsidRPr="001F1308">
        <w:t>i przepisami obowiązującymi w Polsce.  Okablowanie wykorzystane do budowy instalacji teletechnicznych powinno spełniać następujące wymagania:</w:t>
      </w:r>
    </w:p>
    <w:p w14:paraId="7E7C481A" w14:textId="77777777" w:rsidR="00805B9A" w:rsidRDefault="001F1308" w:rsidP="00D14ED7">
      <w:pPr>
        <w:pStyle w:val="Akapitzlist"/>
        <w:ind w:left="0"/>
        <w:jc w:val="both"/>
      </w:pPr>
      <w:r w:rsidRPr="001F1308">
        <w:t xml:space="preserve"> • Kable miedziane typu S/FTP klasy </w:t>
      </w:r>
      <w:proofErr w:type="spellStart"/>
      <w:r w:rsidRPr="001F1308">
        <w:t>Ea</w:t>
      </w:r>
      <w:proofErr w:type="spellEnd"/>
      <w:r w:rsidRPr="001F1308">
        <w:t xml:space="preserve"> według organizacji ISO (International Organization  for </w:t>
      </w:r>
      <w:proofErr w:type="spellStart"/>
      <w:r w:rsidRPr="001F1308">
        <w:t>Standardization</w:t>
      </w:r>
      <w:proofErr w:type="spellEnd"/>
      <w:r w:rsidRPr="001F1308">
        <w:t xml:space="preserve">) lub lepszej. </w:t>
      </w:r>
    </w:p>
    <w:p w14:paraId="00E6FD2B" w14:textId="77777777" w:rsidR="00777C4D" w:rsidRDefault="001F1308" w:rsidP="00D14ED7">
      <w:pPr>
        <w:pStyle w:val="Akapitzlist"/>
        <w:ind w:left="0"/>
        <w:jc w:val="both"/>
      </w:pPr>
      <w:r w:rsidRPr="001F1308">
        <w:t xml:space="preserve">• Kable światłowodowe </w:t>
      </w:r>
      <w:proofErr w:type="spellStart"/>
      <w:r w:rsidRPr="001F1308">
        <w:t>jednomodowe</w:t>
      </w:r>
      <w:proofErr w:type="spellEnd"/>
      <w:r w:rsidRPr="001F1308">
        <w:t xml:space="preserve"> zgodne z jednym ze standardów: G.652.D, G657.A1, G657.A2 Panele </w:t>
      </w:r>
      <w:proofErr w:type="spellStart"/>
      <w:r w:rsidRPr="001F1308">
        <w:t>krosownicze</w:t>
      </w:r>
      <w:proofErr w:type="spellEnd"/>
      <w:r w:rsidRPr="001F1308">
        <w:t xml:space="preserve"> i gniazda abonenckie powinny być nie mniejszej kategorii niż zastosowany kabel łączący je.</w:t>
      </w:r>
    </w:p>
    <w:p w14:paraId="27AA4B80" w14:textId="77777777" w:rsidR="00FA49EB" w:rsidRDefault="00FA49EB" w:rsidP="00D14ED7">
      <w:pPr>
        <w:pStyle w:val="Akapitzlist"/>
        <w:ind w:left="0"/>
        <w:jc w:val="both"/>
      </w:pPr>
    </w:p>
    <w:p w14:paraId="0523FE48" w14:textId="77777777" w:rsidR="00FA49EB" w:rsidRPr="001F1308" w:rsidRDefault="00FA49EB" w:rsidP="00D14ED7">
      <w:pPr>
        <w:pStyle w:val="Akapitzlist"/>
        <w:ind w:left="0"/>
        <w:jc w:val="both"/>
      </w:pPr>
    </w:p>
    <w:p w14:paraId="388B0781" w14:textId="77777777" w:rsidR="00E53AD6" w:rsidRPr="00E53AD6" w:rsidRDefault="00E53AD6" w:rsidP="00D14ED7">
      <w:pPr>
        <w:jc w:val="both"/>
        <w:rPr>
          <w:b/>
        </w:rPr>
      </w:pPr>
      <w:r w:rsidRPr="00E53AD6">
        <w:rPr>
          <w:b/>
        </w:rPr>
        <w:lastRenderedPageBreak/>
        <w:t xml:space="preserve">WYMAGANIA DLA INSTALACJI ELEKTRONICZNYCH SYSTEMÓW OCHRONY (ESO) </w:t>
      </w:r>
    </w:p>
    <w:p w14:paraId="48ABB223" w14:textId="77777777" w:rsidR="00E53AD6" w:rsidRDefault="00E53AD6" w:rsidP="00D14ED7">
      <w:pPr>
        <w:jc w:val="both"/>
      </w:pPr>
      <w:r>
        <w:t xml:space="preserve"> 1. System ESO w Data Center jest zespołem reguł, procedur i instalacji technicznych, których zadaniem jest kontrola postępowania pracowników oraz  zapewnienie bezpieczeństwa obiektu i mienia. Na system ESO składają </w:t>
      </w:r>
      <w:proofErr w:type="spellStart"/>
      <w:r>
        <w:t>sie</w:t>
      </w:r>
      <w:proofErr w:type="spellEnd"/>
      <w:r>
        <w:t xml:space="preserve"> z trzy współpracujące ze sobą podsystemy:</w:t>
      </w:r>
    </w:p>
    <w:p w14:paraId="7DDDB896" w14:textId="77777777" w:rsidR="00E53AD6" w:rsidRDefault="00E53AD6" w:rsidP="00D14ED7">
      <w:pPr>
        <w:spacing w:line="240" w:lineRule="auto"/>
        <w:jc w:val="both"/>
      </w:pPr>
      <w:r>
        <w:t xml:space="preserve"> 1. System Sygnalizacji Włamania i Napadu (</w:t>
      </w:r>
      <w:proofErr w:type="spellStart"/>
      <w:r>
        <w:t>SSWiN</w:t>
      </w:r>
      <w:proofErr w:type="spellEnd"/>
      <w:r>
        <w:t xml:space="preserve">). </w:t>
      </w:r>
    </w:p>
    <w:p w14:paraId="3DFF4475" w14:textId="77777777" w:rsidR="00E53AD6" w:rsidRDefault="00E53AD6" w:rsidP="00D14ED7">
      <w:pPr>
        <w:spacing w:line="240" w:lineRule="auto"/>
        <w:jc w:val="both"/>
      </w:pPr>
      <w:r>
        <w:t xml:space="preserve">2. System Kontroli Dostępu (SKD). </w:t>
      </w:r>
    </w:p>
    <w:p w14:paraId="04F220FD" w14:textId="77777777" w:rsidR="00E53AD6" w:rsidRDefault="00E53AD6" w:rsidP="00D14ED7">
      <w:pPr>
        <w:spacing w:line="240" w:lineRule="auto"/>
        <w:jc w:val="both"/>
      </w:pPr>
      <w:r>
        <w:t xml:space="preserve">3. System telewizji dozorowej (CCTV). </w:t>
      </w:r>
    </w:p>
    <w:p w14:paraId="57E82D46" w14:textId="77777777" w:rsidR="00E53AD6" w:rsidRDefault="00E53AD6" w:rsidP="00D14ED7">
      <w:pPr>
        <w:jc w:val="both"/>
      </w:pPr>
      <w:r>
        <w:t xml:space="preserve">2.  Normy i przepisy Projekt Techniczny instalacji ESO należy wykonać zgodnie z aktualnymi normami  </w:t>
      </w:r>
      <w:r w:rsidR="00D14ED7">
        <w:br/>
      </w:r>
      <w:r>
        <w:t xml:space="preserve">i przepisami: </w:t>
      </w:r>
    </w:p>
    <w:p w14:paraId="011DCC72" w14:textId="77777777" w:rsidR="00E53AD6" w:rsidRDefault="00E53AD6" w:rsidP="00D14ED7">
      <w:pPr>
        <w:jc w:val="both"/>
      </w:pPr>
      <w:r>
        <w:t xml:space="preserve">3.  Koncepcja ochrony obiektu System ochrony musi zarządzać kontrolą do pomieszczeń obiektu w zależności od praw przyznanych pracownikom oraz gościom oraz zapewnić ochronę przed osobami nieautoryzowanymi. </w:t>
      </w:r>
    </w:p>
    <w:p w14:paraId="6F38E81C" w14:textId="77777777" w:rsidR="00E53AD6" w:rsidRDefault="00E53AD6" w:rsidP="00D14ED7">
      <w:pPr>
        <w:jc w:val="both"/>
      </w:pPr>
      <w:r>
        <w:t xml:space="preserve">4. Wytyczne dla Systemu Sygnalizacji Włamania i Napadu i Kontroli Dostępu </w:t>
      </w:r>
    </w:p>
    <w:p w14:paraId="752D6AF0" w14:textId="77777777" w:rsidR="00E53AD6" w:rsidRDefault="00E53AD6" w:rsidP="00D14ED7">
      <w:pPr>
        <w:pStyle w:val="Akapitzlist"/>
        <w:numPr>
          <w:ilvl w:val="0"/>
          <w:numId w:val="7"/>
        </w:numPr>
        <w:ind w:left="0" w:hanging="283"/>
        <w:jc w:val="both"/>
      </w:pPr>
      <w:r>
        <w:t>System sygnalizacji włamania i napadu (</w:t>
      </w:r>
      <w:proofErr w:type="spellStart"/>
      <w:r>
        <w:t>SSWiN</w:t>
      </w:r>
      <w:proofErr w:type="spellEnd"/>
      <w:r>
        <w:t>) należy projektować jako zintegrowany z systemem kontroli dostępu (SKD).</w:t>
      </w:r>
    </w:p>
    <w:p w14:paraId="6A6C6CCD" w14:textId="1DCA0F96" w:rsidR="00D16EEC" w:rsidRPr="00810D24" w:rsidRDefault="00E53AD6" w:rsidP="00D14ED7">
      <w:pPr>
        <w:pStyle w:val="Akapitzlist"/>
        <w:numPr>
          <w:ilvl w:val="0"/>
          <w:numId w:val="7"/>
        </w:numPr>
        <w:ind w:left="0" w:hanging="283"/>
        <w:jc w:val="both"/>
      </w:pPr>
      <w:r>
        <w:t xml:space="preserve">System powinien spełniać wymagania Polskiej Normy PN-93/E-08390-14 oraz </w:t>
      </w:r>
      <w:r w:rsidR="00810D24" w:rsidRPr="00810D24">
        <w:t>PN-EN 50136:2012</w:t>
      </w:r>
    </w:p>
    <w:p w14:paraId="5C96D8CD" w14:textId="77777777" w:rsidR="00D16EEC" w:rsidRDefault="00E53AD6" w:rsidP="00D14ED7">
      <w:pPr>
        <w:pStyle w:val="Akapitzlist"/>
        <w:numPr>
          <w:ilvl w:val="0"/>
          <w:numId w:val="7"/>
        </w:numPr>
        <w:ind w:left="0" w:hanging="283"/>
        <w:jc w:val="both"/>
      </w:pPr>
      <w:r>
        <w:t>System SSWN i SKD powinien być zasilany z wydzielonych, oznaczonych pół  w rozdzielni głównej, do tych pól nie wolno przyłączać żadnych innych odbiorników energii. Obwody zasilania powinny być zabezpieczone odpowiednio dobranym i oznaczonym bezpiecznikiem, liczba zabezpieczeń pomiędzy przyłączem energetycznym, a zasilaczami SSWN, nie powinna przekroczyć dwóch.</w:t>
      </w:r>
    </w:p>
    <w:p w14:paraId="220812A2" w14:textId="77777777" w:rsidR="00D16EEC" w:rsidRDefault="00E53AD6" w:rsidP="00D14ED7">
      <w:pPr>
        <w:pStyle w:val="Akapitzlist"/>
        <w:numPr>
          <w:ilvl w:val="0"/>
          <w:numId w:val="7"/>
        </w:numPr>
        <w:ind w:left="0" w:hanging="283"/>
        <w:jc w:val="both"/>
      </w:pPr>
      <w:r>
        <w:t xml:space="preserve">Zasilanie rezerwowe systemu (czas zasilania rezerwowego systemu SSWN i SKD powinien wynosić 48 godzin) należy dobrać zakładając całodobowa obsługę (ochronę) oraz świadczenie usług serwisowych </w:t>
      </w:r>
      <w:r w:rsidR="00D14ED7">
        <w:br/>
      </w:r>
      <w:r>
        <w:t xml:space="preserve">w ciągu 24h, system alarmowy powinien nadzorować zarówno zasilacze jak i akumulatory, zasilanie mechanizmów ryglujących powinno posiadać zabezpieczenia zapobiegające uszkodzeniu zasilaczy lub rozładowaniu akumulatorów  w przypadku zwarcia w mechanizmie ryglującym. 6.6. </w:t>
      </w:r>
    </w:p>
    <w:p w14:paraId="2ABF8261" w14:textId="77777777" w:rsidR="00D16EEC" w:rsidRDefault="00E53AD6" w:rsidP="00D14ED7">
      <w:pPr>
        <w:pStyle w:val="Akapitzlist"/>
        <w:numPr>
          <w:ilvl w:val="0"/>
          <w:numId w:val="7"/>
        </w:numPr>
        <w:ind w:left="0" w:hanging="283"/>
        <w:jc w:val="both"/>
      </w:pPr>
      <w:r>
        <w:t>Podłączenie systemu do Centralnej Stacji Monitorowania Alarmów Politechniki Gdańskiej powinno być dwutorowe (analogowy dialer telefoniczny, szyfrowany kanał TCP/I).</w:t>
      </w:r>
    </w:p>
    <w:p w14:paraId="0FF99F8E" w14:textId="77777777" w:rsidR="00D16EEC" w:rsidRDefault="00E53AD6" w:rsidP="00D14ED7">
      <w:pPr>
        <w:pStyle w:val="Akapitzlist"/>
        <w:numPr>
          <w:ilvl w:val="0"/>
          <w:numId w:val="7"/>
        </w:numPr>
        <w:ind w:left="0" w:hanging="283"/>
        <w:jc w:val="both"/>
      </w:pPr>
      <w:r>
        <w:t xml:space="preserve"> W skład systemu powinny wchodzić: czujniki z </w:t>
      </w:r>
      <w:proofErr w:type="spellStart"/>
      <w:r>
        <w:t>antymaskingiem</w:t>
      </w:r>
      <w:proofErr w:type="spellEnd"/>
      <w:r>
        <w:t>, dualne czujniki ruchu, czujniki magnetyczne (drzwi wewnętrzne i zewnętrzne, otwierane okna), czujniki stłuczenia szyby (okna, szklone drzwi), czujniki sejsmiczne, ręczne i radiowe przyciski napadu, bariery lub czujniki ochrony obwodowej.</w:t>
      </w:r>
    </w:p>
    <w:p w14:paraId="766AB5AB" w14:textId="2F16C4C7" w:rsidR="00D16EEC" w:rsidRDefault="00E53AD6" w:rsidP="00D14ED7">
      <w:pPr>
        <w:pStyle w:val="Akapitzlist"/>
        <w:numPr>
          <w:ilvl w:val="0"/>
          <w:numId w:val="7"/>
        </w:numPr>
        <w:ind w:left="0" w:hanging="283"/>
        <w:jc w:val="both"/>
      </w:pPr>
      <w:r>
        <w:t xml:space="preserve">System kontroli dostępu bazujący na kontrolerach drzwi powinien spełniać wymagania Polskiej Normy </w:t>
      </w:r>
      <w:r w:rsidR="008105BE" w:rsidRPr="008105BE">
        <w:t xml:space="preserve">PN-EN-50133:2007 </w:t>
      </w:r>
      <w:r>
        <w:t xml:space="preserve">(U). W systemie należy zastosować podstawowe funkcje kontroli dostępu </w:t>
      </w:r>
      <w:r w:rsidR="00D14ED7">
        <w:br/>
      </w:r>
      <w:r>
        <w:t>z rejestracją zdarzeń, wykorzystaniem pasywnych kart zbliżeniowych bliskiego zasięgu czytników zbliżeniowych i klawiatur (PIN),</w:t>
      </w:r>
    </w:p>
    <w:p w14:paraId="76C84BF7" w14:textId="77777777" w:rsidR="00D16EEC" w:rsidRDefault="00E53AD6" w:rsidP="00D14ED7">
      <w:pPr>
        <w:pStyle w:val="Akapitzlist"/>
        <w:numPr>
          <w:ilvl w:val="0"/>
          <w:numId w:val="7"/>
        </w:numPr>
        <w:ind w:left="0" w:hanging="283"/>
        <w:jc w:val="both"/>
      </w:pPr>
      <w:r>
        <w:t>System musi posiadać zabezpieczenie kodem bezpieczeństwa uniemożliwiającym odczytanie karty przez nieautoryzowany czytnik.</w:t>
      </w:r>
    </w:p>
    <w:p w14:paraId="7D1743D4" w14:textId="77777777" w:rsidR="00D16EEC" w:rsidRDefault="00E53AD6" w:rsidP="00D14ED7">
      <w:pPr>
        <w:pStyle w:val="Akapitzlist"/>
        <w:numPr>
          <w:ilvl w:val="0"/>
          <w:numId w:val="7"/>
        </w:numPr>
        <w:ind w:left="0" w:hanging="283"/>
        <w:jc w:val="both"/>
      </w:pPr>
      <w:r>
        <w:lastRenderedPageBreak/>
        <w:t xml:space="preserve">System musi pozwalać na pełne zarządzanie </w:t>
      </w:r>
      <w:proofErr w:type="spellStart"/>
      <w:r>
        <w:t>SSWiN</w:t>
      </w:r>
      <w:proofErr w:type="spellEnd"/>
      <w:r>
        <w:t xml:space="preserve"> i SKD z dedykowanego komputera poprzez sieć TCP/IP (z możliwością samodzielnego programowania kart zbliżeniowych).</w:t>
      </w:r>
    </w:p>
    <w:p w14:paraId="00921B06" w14:textId="77777777" w:rsidR="00D16EEC" w:rsidRDefault="00E53AD6" w:rsidP="00D14ED7">
      <w:pPr>
        <w:pStyle w:val="Akapitzlist"/>
        <w:numPr>
          <w:ilvl w:val="0"/>
          <w:numId w:val="7"/>
        </w:numPr>
        <w:ind w:left="0" w:hanging="283"/>
        <w:jc w:val="both"/>
      </w:pPr>
      <w:proofErr w:type="spellStart"/>
      <w:r>
        <w:t>Zazbrojenie</w:t>
      </w:r>
      <w:proofErr w:type="spellEnd"/>
      <w:r>
        <w:t xml:space="preserve"> i rozbrojenie poszczególnych stref musi odbywać się przez uprawnionych użytkowników </w:t>
      </w:r>
      <w:r w:rsidR="00D14ED7">
        <w:br/>
      </w:r>
      <w:r>
        <w:t xml:space="preserve">z manipulatora lub przez </w:t>
      </w:r>
      <w:r w:rsidR="00D16EEC">
        <w:t>pracowników ochrony</w:t>
      </w:r>
      <w:r>
        <w:t>.</w:t>
      </w:r>
    </w:p>
    <w:p w14:paraId="0023642A" w14:textId="77777777" w:rsidR="00E53AD6" w:rsidRDefault="00E53AD6" w:rsidP="00D14ED7">
      <w:pPr>
        <w:pStyle w:val="Akapitzlist"/>
        <w:numPr>
          <w:ilvl w:val="0"/>
          <w:numId w:val="7"/>
        </w:numPr>
        <w:ind w:left="0" w:hanging="283"/>
        <w:jc w:val="both"/>
      </w:pPr>
      <w:r>
        <w:t xml:space="preserve">Szczególny nacisk należy położyć na bezpieczeństwo ewakuacji przy stosowaniu kontroli dwustronnej, jak również na niezawodność pracy mechanizmów ryglujących. </w:t>
      </w:r>
    </w:p>
    <w:p w14:paraId="68C64E76" w14:textId="77777777" w:rsidR="00E53AD6" w:rsidRDefault="00E53AD6" w:rsidP="00D14ED7">
      <w:pPr>
        <w:jc w:val="both"/>
      </w:pPr>
      <w:r>
        <w:t xml:space="preserve"> </w:t>
      </w:r>
      <w:r w:rsidR="00D16EEC">
        <w:t>5</w:t>
      </w:r>
      <w:r>
        <w:t xml:space="preserve">.  Wytyczne dla systemu telewizji dozorowej (CCTV)  </w:t>
      </w:r>
    </w:p>
    <w:p w14:paraId="1ABCFAD8" w14:textId="77777777" w:rsidR="00D16EEC" w:rsidRDefault="00E53AD6" w:rsidP="00D14ED7">
      <w:pPr>
        <w:pStyle w:val="Akapitzlist"/>
        <w:numPr>
          <w:ilvl w:val="0"/>
          <w:numId w:val="8"/>
        </w:numPr>
        <w:ind w:left="0" w:hanging="141"/>
        <w:jc w:val="both"/>
      </w:pPr>
      <w:r>
        <w:t xml:space="preserve">Obiekt Data Center powinien zostać wyposażony w system telewizji kolorowej IP  z rejestracją obrazu, obejmujący wewnętrzne przejścia pomiędzy strefami </w:t>
      </w:r>
    </w:p>
    <w:p w14:paraId="5EEFE2BE" w14:textId="77777777" w:rsidR="00D16EEC" w:rsidRDefault="00E53AD6" w:rsidP="00D14ED7">
      <w:pPr>
        <w:pStyle w:val="Akapitzlist"/>
        <w:numPr>
          <w:ilvl w:val="0"/>
          <w:numId w:val="8"/>
        </w:numPr>
        <w:ind w:left="0" w:hanging="141"/>
        <w:jc w:val="both"/>
      </w:pPr>
      <w:r>
        <w:t>System powinien być wyposażony w serwer monitoringu IP zapewniający ciągły zapis wszystkich zaprojektowanych kamer w pełnej rozdzielczości przez co najmniej 30 dni.</w:t>
      </w:r>
    </w:p>
    <w:p w14:paraId="33DA8EA8" w14:textId="77777777" w:rsidR="00D16EEC" w:rsidRDefault="00E53AD6" w:rsidP="00D14ED7">
      <w:pPr>
        <w:pStyle w:val="Akapitzlist"/>
        <w:numPr>
          <w:ilvl w:val="0"/>
          <w:numId w:val="8"/>
        </w:numPr>
        <w:ind w:left="0" w:hanging="141"/>
        <w:jc w:val="both"/>
      </w:pPr>
      <w:r>
        <w:t>Serwer monitoringu powinien pozwalać na podgląd wybranych kamer autoryzowanym klientom przy pomocy przeglądarki internetowej.</w:t>
      </w:r>
    </w:p>
    <w:p w14:paraId="629F91A1" w14:textId="77777777" w:rsidR="00D16EEC" w:rsidRDefault="00E53AD6" w:rsidP="00D14ED7">
      <w:pPr>
        <w:pStyle w:val="Akapitzlist"/>
        <w:numPr>
          <w:ilvl w:val="0"/>
          <w:numId w:val="8"/>
        </w:numPr>
        <w:ind w:left="0" w:hanging="141"/>
        <w:jc w:val="both"/>
      </w:pPr>
      <w:r>
        <w:t>Zastosowane kamery powinny być w wersji wandaloodpornej współpracujące  z projektowanym serwerem monitoring</w:t>
      </w:r>
      <w:r w:rsidR="00D16EEC">
        <w:t>u</w:t>
      </w:r>
    </w:p>
    <w:p w14:paraId="1EA2BC16" w14:textId="77777777" w:rsidR="00D16EEC" w:rsidRDefault="00E53AD6" w:rsidP="00D14ED7">
      <w:pPr>
        <w:pStyle w:val="Akapitzlist"/>
        <w:numPr>
          <w:ilvl w:val="0"/>
          <w:numId w:val="8"/>
        </w:numPr>
        <w:ind w:left="0" w:hanging="141"/>
        <w:jc w:val="both"/>
      </w:pPr>
      <w:r>
        <w:t>Wszystkie kamery zewnętrzne powinny być w wersji dzień-noc z mechanicznym filtrem podczerwieni, z oświetlaczem podczerwieni, posiadać przetwornik o rozdzielczości 5MP lub większy oraz pracować w temperaturze -30 do 50 stopni i posiadać zabezpieczenie przeciwprzepięciowe.</w:t>
      </w:r>
    </w:p>
    <w:p w14:paraId="64164F5D" w14:textId="0DA05CA3" w:rsidR="00D16EEC" w:rsidRDefault="00E53AD6" w:rsidP="00D14ED7">
      <w:pPr>
        <w:pStyle w:val="Akapitzlist"/>
        <w:numPr>
          <w:ilvl w:val="0"/>
          <w:numId w:val="8"/>
        </w:numPr>
        <w:ind w:left="0" w:hanging="141"/>
        <w:jc w:val="both"/>
      </w:pPr>
      <w:r>
        <w:t xml:space="preserve">Wszystkie kamery wewnętrzne powinny być w wersji </w:t>
      </w:r>
      <w:proofErr w:type="spellStart"/>
      <w:r>
        <w:t>kopułkowej</w:t>
      </w:r>
      <w:proofErr w:type="spellEnd"/>
      <w:r>
        <w:t xml:space="preserve">, z oświetlaczem podczerwieni, posiadać przetwornik o rozdzielczości </w:t>
      </w:r>
      <w:r w:rsidR="008105BE">
        <w:t>4</w:t>
      </w:r>
      <w:r>
        <w:t>MP lub większy.</w:t>
      </w:r>
    </w:p>
    <w:p w14:paraId="46EF858A" w14:textId="77777777" w:rsidR="00D16EEC" w:rsidRDefault="00E53AD6" w:rsidP="00D14ED7">
      <w:pPr>
        <w:pStyle w:val="Akapitzlist"/>
        <w:numPr>
          <w:ilvl w:val="0"/>
          <w:numId w:val="8"/>
        </w:numPr>
        <w:ind w:left="0" w:hanging="141"/>
        <w:jc w:val="both"/>
      </w:pPr>
      <w:r>
        <w:t xml:space="preserve">Wszystkie kamery powinny być wyposażone w obiektywy z automatyczną przysłoną  i ręcznym </w:t>
      </w:r>
      <w:proofErr w:type="spellStart"/>
      <w:r>
        <w:t>zoom'em</w:t>
      </w:r>
      <w:proofErr w:type="spellEnd"/>
      <w:r>
        <w:t xml:space="preserve"> dobrane tak aby była możliwa obserwacja wybranych przestrzeni </w:t>
      </w:r>
    </w:p>
    <w:p w14:paraId="6DE2E868" w14:textId="77777777" w:rsidR="00D16EEC" w:rsidRDefault="00E53AD6" w:rsidP="00D14ED7">
      <w:pPr>
        <w:pStyle w:val="Akapitzlist"/>
        <w:numPr>
          <w:ilvl w:val="0"/>
          <w:numId w:val="8"/>
        </w:numPr>
        <w:ind w:left="0" w:hanging="141"/>
        <w:jc w:val="both"/>
      </w:pPr>
      <w:r>
        <w:t xml:space="preserve"> Zasilanie kamer wewnętrznych i zewnętrznych powinno być realizowane z przełącznika </w:t>
      </w:r>
      <w:proofErr w:type="spellStart"/>
      <w:r>
        <w:t>PoE</w:t>
      </w:r>
      <w:proofErr w:type="spellEnd"/>
      <w:r>
        <w:t xml:space="preserve"> wyposażonego w co najmniej dwa zasilacze podłączone do dwóch niezależnych obwodów centralnego </w:t>
      </w:r>
      <w:proofErr w:type="spellStart"/>
      <w:r>
        <w:t>UPSa</w:t>
      </w:r>
      <w:proofErr w:type="spellEnd"/>
      <w:r>
        <w:t>.</w:t>
      </w:r>
    </w:p>
    <w:p w14:paraId="34FABF7D" w14:textId="77777777" w:rsidR="00D16EEC" w:rsidRDefault="00E53AD6" w:rsidP="00D14ED7">
      <w:pPr>
        <w:pStyle w:val="Akapitzlist"/>
        <w:numPr>
          <w:ilvl w:val="0"/>
          <w:numId w:val="8"/>
        </w:numPr>
        <w:ind w:left="0" w:hanging="141"/>
        <w:jc w:val="both"/>
      </w:pPr>
      <w:r>
        <w:t xml:space="preserve">Serwer monitoringu powinien być zainstalowany w szafie </w:t>
      </w:r>
      <w:proofErr w:type="spellStart"/>
      <w:r>
        <w:t>Rack</w:t>
      </w:r>
      <w:proofErr w:type="spellEnd"/>
      <w:r>
        <w:t xml:space="preserve"> w pomieszczeniu chronionym na poziomie serwerowym</w:t>
      </w:r>
    </w:p>
    <w:p w14:paraId="1290F2DC" w14:textId="77777777" w:rsidR="00D16EEC" w:rsidRDefault="00E53AD6" w:rsidP="00D14ED7">
      <w:pPr>
        <w:pStyle w:val="Akapitzlist"/>
        <w:numPr>
          <w:ilvl w:val="0"/>
          <w:numId w:val="8"/>
        </w:numPr>
        <w:ind w:left="0" w:hanging="141"/>
        <w:jc w:val="both"/>
      </w:pPr>
      <w:r>
        <w:t>Do podglądu obrazu system powinien posiadać dwa zestawy składające się ze stacji roboczej wyposażonej w 2 monitory TV 4K o przekątnej co najmniej 55</w:t>
      </w:r>
    </w:p>
    <w:p w14:paraId="5DC18A3B" w14:textId="77777777" w:rsidR="00E53AD6" w:rsidRPr="00D16EEC" w:rsidRDefault="00E53AD6" w:rsidP="00D14ED7">
      <w:pPr>
        <w:jc w:val="both"/>
        <w:rPr>
          <w:b/>
        </w:rPr>
      </w:pPr>
      <w:r w:rsidRPr="00E53AD6">
        <w:rPr>
          <w:b/>
        </w:rPr>
        <w:t xml:space="preserve">WYMAGANIA DLA INSTALACJI KLIMATYZACYJNEJ I WENTYLACJI </w:t>
      </w:r>
    </w:p>
    <w:p w14:paraId="64E0EEFF" w14:textId="77777777" w:rsidR="00E53AD6" w:rsidRDefault="00E53AD6" w:rsidP="00D14ED7">
      <w:pPr>
        <w:jc w:val="both"/>
      </w:pPr>
      <w:r>
        <w:t>Budynek powinien być wyposażony w wentylację grawitacyjną, mechaniczną oraz systemy klimatyzacji precyzyjnej oraz klimatyzację komfortu</w:t>
      </w:r>
      <w:r w:rsidR="00350608">
        <w:t xml:space="preserve">. </w:t>
      </w:r>
      <w:r>
        <w:t xml:space="preserve">Parametry klimatyzacji i wentylacji powinny być monitorowane system zarządzania budynkiem (BMS). </w:t>
      </w:r>
      <w:r w:rsidR="00350608">
        <w:t xml:space="preserve">Rozmieszczenie urządzeń wentylacji i klimatyzacji należy dostosować do przyjętych rozwiązań </w:t>
      </w:r>
      <w:proofErr w:type="spellStart"/>
      <w:r w:rsidR="00350608">
        <w:t>funkcjonalno</w:t>
      </w:r>
      <w:proofErr w:type="spellEnd"/>
      <w:r w:rsidR="00350608">
        <w:t xml:space="preserve"> – użytkowych .</w:t>
      </w:r>
    </w:p>
    <w:p w14:paraId="243D8641" w14:textId="77777777" w:rsidR="00916ECF" w:rsidRDefault="00916ECF" w:rsidP="00916ECF">
      <w:pPr>
        <w:rPr>
          <w:rFonts w:eastAsiaTheme="minorEastAsia"/>
          <w:b/>
          <w:lang w:eastAsia="pl-PL"/>
        </w:rPr>
      </w:pPr>
    </w:p>
    <w:p w14:paraId="0A26F081" w14:textId="77777777" w:rsidR="00FA49EB" w:rsidRDefault="00FA49EB" w:rsidP="00916ECF">
      <w:pPr>
        <w:rPr>
          <w:rFonts w:eastAsiaTheme="minorEastAsia"/>
          <w:b/>
          <w:lang w:eastAsia="pl-PL"/>
        </w:rPr>
      </w:pPr>
    </w:p>
    <w:p w14:paraId="00DFBA10" w14:textId="77777777" w:rsidR="00FA49EB" w:rsidRDefault="00FA49EB" w:rsidP="00916ECF">
      <w:pPr>
        <w:rPr>
          <w:rFonts w:eastAsiaTheme="minorEastAsia"/>
          <w:b/>
          <w:lang w:eastAsia="pl-PL"/>
        </w:rPr>
      </w:pPr>
    </w:p>
    <w:p w14:paraId="67542861" w14:textId="77777777" w:rsidR="00916ECF" w:rsidRPr="00916ECF" w:rsidRDefault="00916ECF" w:rsidP="00916ECF">
      <w:pPr>
        <w:rPr>
          <w:rFonts w:eastAsiaTheme="minorEastAsia"/>
          <w:b/>
          <w:lang w:eastAsia="pl-PL"/>
        </w:rPr>
      </w:pPr>
      <w:r w:rsidRPr="00916ECF">
        <w:rPr>
          <w:rFonts w:eastAsiaTheme="minorEastAsia"/>
          <w:b/>
          <w:lang w:eastAsia="pl-PL"/>
        </w:rPr>
        <w:lastRenderedPageBreak/>
        <w:t>UWAGA</w:t>
      </w:r>
    </w:p>
    <w:p w14:paraId="229DF6FE" w14:textId="77777777" w:rsidR="00916ECF" w:rsidRPr="00916ECF" w:rsidRDefault="00916ECF" w:rsidP="00916ECF">
      <w:pPr>
        <w:spacing w:after="20"/>
        <w:rPr>
          <w:rFonts w:eastAsiaTheme="minorEastAsia"/>
          <w:lang w:eastAsia="pl-PL"/>
        </w:rPr>
      </w:pPr>
      <w:r w:rsidRPr="00916ECF">
        <w:rPr>
          <w:rFonts w:eastAsiaTheme="minorEastAsia"/>
          <w:lang w:eastAsia="pl-PL"/>
        </w:rPr>
        <w:t>Dla instalacji centralnego ogrzewania ciepła technologicznego , instalacji CWU i ZWU  oraz instalacji elektrycznej, należy przewidzieć możliwość pośredniego opomiarowania dla poszczególnych stref użytkowych w podziale na:</w:t>
      </w:r>
    </w:p>
    <w:p w14:paraId="21193B60" w14:textId="77777777" w:rsidR="00916ECF" w:rsidRPr="00916ECF" w:rsidRDefault="00916ECF" w:rsidP="00916ECF">
      <w:pPr>
        <w:spacing w:after="20"/>
        <w:rPr>
          <w:rFonts w:eastAsiaTheme="minorEastAsia"/>
          <w:lang w:eastAsia="pl-PL"/>
        </w:rPr>
      </w:pPr>
      <w:r w:rsidRPr="00916ECF">
        <w:rPr>
          <w:rFonts w:eastAsiaTheme="minorEastAsia"/>
          <w:lang w:eastAsia="pl-PL"/>
        </w:rPr>
        <w:t xml:space="preserve"> - strefę F (zespół pomieszczeń gastronomi)</w:t>
      </w:r>
    </w:p>
    <w:p w14:paraId="6007A831" w14:textId="77777777" w:rsidR="00916ECF" w:rsidRPr="00916ECF" w:rsidRDefault="00916ECF" w:rsidP="00916ECF">
      <w:pPr>
        <w:spacing w:after="20"/>
        <w:rPr>
          <w:rFonts w:eastAsiaTheme="minorEastAsia"/>
          <w:lang w:eastAsia="pl-PL"/>
        </w:rPr>
      </w:pPr>
      <w:r w:rsidRPr="00916ECF">
        <w:rPr>
          <w:rFonts w:eastAsiaTheme="minorEastAsia"/>
          <w:lang w:eastAsia="pl-PL"/>
        </w:rPr>
        <w:t>- strefę D4 (siłownia)</w:t>
      </w:r>
    </w:p>
    <w:p w14:paraId="20CC433C" w14:textId="77777777" w:rsidR="00916ECF" w:rsidRPr="00916ECF" w:rsidRDefault="00916ECF" w:rsidP="00916ECF">
      <w:pPr>
        <w:spacing w:after="20"/>
        <w:rPr>
          <w:rFonts w:eastAsiaTheme="minorEastAsia"/>
          <w:lang w:eastAsia="pl-PL"/>
        </w:rPr>
      </w:pPr>
      <w:r w:rsidRPr="00916ECF">
        <w:rPr>
          <w:rFonts w:eastAsiaTheme="minorEastAsia"/>
          <w:lang w:eastAsia="pl-PL"/>
        </w:rPr>
        <w:t>- strefa D5 (pomieszczenia odnowy biologicznej)</w:t>
      </w:r>
    </w:p>
    <w:p w14:paraId="573C09B2" w14:textId="77777777" w:rsidR="00916ECF" w:rsidRPr="00916ECF" w:rsidRDefault="00916ECF" w:rsidP="00916ECF">
      <w:pPr>
        <w:spacing w:after="20"/>
        <w:rPr>
          <w:rFonts w:eastAsiaTheme="minorEastAsia"/>
          <w:lang w:eastAsia="pl-PL"/>
        </w:rPr>
      </w:pPr>
      <w:r w:rsidRPr="00916ECF">
        <w:rPr>
          <w:rFonts w:eastAsiaTheme="minorEastAsia"/>
          <w:lang w:eastAsia="pl-PL"/>
        </w:rPr>
        <w:t>- pozostała część budynku</w:t>
      </w:r>
    </w:p>
    <w:p w14:paraId="354CD4A5" w14:textId="77777777" w:rsidR="00916ECF" w:rsidRPr="008105BE" w:rsidRDefault="00916ECF" w:rsidP="00D14ED7">
      <w:pPr>
        <w:jc w:val="both"/>
        <w:rPr>
          <w:b/>
        </w:rPr>
      </w:pPr>
    </w:p>
    <w:p w14:paraId="3E9416FD" w14:textId="77777777" w:rsidR="008105BE" w:rsidRPr="008105BE" w:rsidRDefault="008105BE" w:rsidP="008105BE">
      <w:pPr>
        <w:jc w:val="both"/>
        <w:rPr>
          <w:b/>
        </w:rPr>
      </w:pPr>
      <w:r w:rsidRPr="008105BE">
        <w:rPr>
          <w:b/>
        </w:rPr>
        <w:t xml:space="preserve">WYMAGANIA DLA INSTALACJI ELEKTROMOBILNOŚCI </w:t>
      </w:r>
    </w:p>
    <w:p w14:paraId="5242B396" w14:textId="77777777" w:rsidR="008105BE" w:rsidRPr="008105BE" w:rsidRDefault="008105BE" w:rsidP="008105BE">
      <w:pPr>
        <w:jc w:val="both"/>
      </w:pPr>
      <w:r w:rsidRPr="008105BE">
        <w:t xml:space="preserve">Zgodnie z Ustawą o </w:t>
      </w:r>
      <w:proofErr w:type="spellStart"/>
      <w:r w:rsidRPr="008105BE">
        <w:t>Elektromobilności</w:t>
      </w:r>
      <w:proofErr w:type="spellEnd"/>
      <w:r w:rsidRPr="008105BE">
        <w:t xml:space="preserve">  i Paliwach Alternatywnych z dnia 11 stycznia 2018r oraz Rozporządzeniem Ministra Klimatu i Środowiska z dnia 7 maja 2021r, obiekt wyposażyć w co najmniej jedno stanowisko ładowania pojazdów elektrycznych (o mocy min. 3,7kW) oraz kanały lub koryta kablowe umożliwiające późniejszy montaż co najmniej jednego punktu ładowania na pięć miejsc postojowych związanych z budynkiem. W pomieszczeniu rozdzielni głównej zaprojektować rozdzielnicę główną potrzeb </w:t>
      </w:r>
      <w:proofErr w:type="spellStart"/>
      <w:r w:rsidRPr="008105BE">
        <w:t>elektromobilności</w:t>
      </w:r>
      <w:proofErr w:type="spellEnd"/>
      <w:r w:rsidRPr="008105BE">
        <w:t xml:space="preserve"> zapewniając moc przyłączeniową równą iloczynowi 20% liczby wszystkich stanowisk postojowych związanych z budynkiem i wartości mocy 3,7kW.</w:t>
      </w:r>
    </w:p>
    <w:p w14:paraId="358010BE" w14:textId="77777777" w:rsidR="008105BE" w:rsidRDefault="008105BE" w:rsidP="00D14ED7">
      <w:pPr>
        <w:jc w:val="both"/>
      </w:pPr>
    </w:p>
    <w:sectPr w:rsidR="008105BE" w:rsidSect="00A71A22">
      <w:headerReference w:type="default" r:id="rId8"/>
      <w:footerReference w:type="default" r:id="rId9"/>
      <w:pgSz w:w="11906" w:h="16838"/>
      <w:pgMar w:top="1560" w:right="1274" w:bottom="1276" w:left="1418"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44AAF" w14:textId="77777777" w:rsidR="00A44767" w:rsidRDefault="00A44767" w:rsidP="00A66700">
      <w:pPr>
        <w:spacing w:after="0" w:line="240" w:lineRule="auto"/>
      </w:pPr>
      <w:r>
        <w:separator/>
      </w:r>
    </w:p>
  </w:endnote>
  <w:endnote w:type="continuationSeparator" w:id="0">
    <w:p w14:paraId="3A2A1C0A" w14:textId="77777777" w:rsidR="00A44767" w:rsidRDefault="00A44767" w:rsidP="00A66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796892"/>
      <w:docPartObj>
        <w:docPartGallery w:val="Page Numbers (Bottom of Page)"/>
        <w:docPartUnique/>
      </w:docPartObj>
    </w:sdtPr>
    <w:sdtEndPr/>
    <w:sdtContent>
      <w:p w14:paraId="61FBF023" w14:textId="77777777" w:rsidR="00B456E6" w:rsidRDefault="00B456E6">
        <w:pPr>
          <w:pStyle w:val="Stopka"/>
          <w:jc w:val="center"/>
        </w:pPr>
        <w:r>
          <w:rPr>
            <w:noProof/>
          </w:rPr>
          <w:fldChar w:fldCharType="begin"/>
        </w:r>
        <w:r>
          <w:rPr>
            <w:noProof/>
          </w:rPr>
          <w:instrText xml:space="preserve"> PAGE   \* MERGEFORMAT </w:instrText>
        </w:r>
        <w:r>
          <w:rPr>
            <w:noProof/>
          </w:rPr>
          <w:fldChar w:fldCharType="separate"/>
        </w:r>
        <w:r w:rsidR="00916ECF">
          <w:rPr>
            <w:noProof/>
          </w:rPr>
          <w:t>5</w:t>
        </w:r>
        <w:r>
          <w:rPr>
            <w:noProof/>
          </w:rPr>
          <w:fldChar w:fldCharType="end"/>
        </w:r>
      </w:p>
    </w:sdtContent>
  </w:sdt>
  <w:p w14:paraId="19386029" w14:textId="77777777" w:rsidR="00B456E6" w:rsidRDefault="00B456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C08D2" w14:textId="77777777" w:rsidR="00A44767" w:rsidRDefault="00A44767" w:rsidP="00A66700">
      <w:pPr>
        <w:spacing w:after="0" w:line="240" w:lineRule="auto"/>
      </w:pPr>
      <w:r>
        <w:separator/>
      </w:r>
    </w:p>
  </w:footnote>
  <w:footnote w:type="continuationSeparator" w:id="0">
    <w:p w14:paraId="7B2DFD07" w14:textId="77777777" w:rsidR="00A44767" w:rsidRDefault="00A44767" w:rsidP="00A667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B7447" w14:textId="77777777" w:rsidR="00B456E6" w:rsidRDefault="00B456E6" w:rsidP="00BF53C8">
    <w:pPr>
      <w:pStyle w:val="Nagwek"/>
      <w:ind w:hanging="426"/>
    </w:pPr>
  </w:p>
  <w:tbl>
    <w:tblPr>
      <w:tblStyle w:val="Tabela-Siatka"/>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6"/>
      <w:gridCol w:w="6972"/>
    </w:tblGrid>
    <w:tr w:rsidR="00B456E6" w:rsidRPr="00FF3DFF" w14:paraId="386B128C" w14:textId="77777777" w:rsidTr="00A71A22">
      <w:tc>
        <w:tcPr>
          <w:tcW w:w="2526" w:type="dxa"/>
        </w:tcPr>
        <w:p w14:paraId="47D8A12F" w14:textId="77777777" w:rsidR="00B456E6" w:rsidRDefault="00B456E6" w:rsidP="00BF53C8">
          <w:pPr>
            <w:pStyle w:val="Nagwek"/>
          </w:pPr>
          <w:r>
            <w:rPr>
              <w:noProof/>
              <w:lang w:eastAsia="pl-PL"/>
            </w:rPr>
            <w:drawing>
              <wp:inline distT="0" distB="0" distL="0" distR="0" wp14:anchorId="50E6463F" wp14:editId="2D21ADDD">
                <wp:extent cx="1466850" cy="1040557"/>
                <wp:effectExtent l="0" t="0" r="0" b="7620"/>
                <wp:docPr id="18" name="Obraz 18" descr="https://pg.edu.pl/documents/10607/18545618/pg_logo_kolor.jpg?t=1383222176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g.edu.pl/documents/10607/18545618/pg_logo_kolor.jpg?t=13832221764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9139" cy="1049275"/>
                        </a:xfrm>
                        <a:prstGeom prst="rect">
                          <a:avLst/>
                        </a:prstGeom>
                        <a:noFill/>
                        <a:ln>
                          <a:noFill/>
                        </a:ln>
                      </pic:spPr>
                    </pic:pic>
                  </a:graphicData>
                </a:graphic>
              </wp:inline>
            </w:drawing>
          </w:r>
        </w:p>
      </w:tc>
      <w:tc>
        <w:tcPr>
          <w:tcW w:w="6972" w:type="dxa"/>
          <w:shd w:val="clear" w:color="auto" w:fill="auto"/>
        </w:tcPr>
        <w:p w14:paraId="5CAC564C" w14:textId="77777777" w:rsidR="00B456E6" w:rsidRPr="00FF3DFF" w:rsidRDefault="00B456E6" w:rsidP="00B456E6">
          <w:pPr>
            <w:pStyle w:val="Nagwek"/>
            <w:jc w:val="both"/>
            <w:rPr>
              <w:color w:val="1F497D" w:themeColor="text2"/>
            </w:rPr>
          </w:pPr>
        </w:p>
        <w:p w14:paraId="5A7793B9" w14:textId="77777777" w:rsidR="00B456E6" w:rsidRPr="00FF3DFF" w:rsidRDefault="00B456E6" w:rsidP="00B456E6">
          <w:pPr>
            <w:pStyle w:val="Nagwek"/>
            <w:jc w:val="both"/>
            <w:rPr>
              <w:color w:val="1F497D" w:themeColor="text2"/>
            </w:rPr>
          </w:pPr>
          <w:r w:rsidRPr="00FF3DFF">
            <w:rPr>
              <w:color w:val="1F497D" w:themeColor="text2"/>
            </w:rPr>
            <w:t>Konkurs na opracowanie koncepcji architektoniczno  – urbanistycznej obiekt</w:t>
          </w:r>
          <w:r>
            <w:rPr>
              <w:color w:val="1F497D" w:themeColor="text2"/>
            </w:rPr>
            <w:t>u</w:t>
          </w:r>
          <w:r w:rsidRPr="00FF3DFF">
            <w:rPr>
              <w:color w:val="1F497D" w:themeColor="text2"/>
            </w:rPr>
            <w:t xml:space="preserve"> wielofunkcyjnego z funkcją</w:t>
          </w:r>
          <w:r>
            <w:rPr>
              <w:color w:val="1F497D" w:themeColor="text2"/>
            </w:rPr>
            <w:t xml:space="preserve"> </w:t>
          </w:r>
          <w:r w:rsidRPr="00FF3DFF">
            <w:rPr>
              <w:color w:val="1F497D" w:themeColor="text2"/>
            </w:rPr>
            <w:t>hali widowiskowo sportowej   oraz centrum kongresowego</w:t>
          </w:r>
          <w:r>
            <w:rPr>
              <w:color w:val="1F497D" w:themeColor="text2"/>
            </w:rPr>
            <w:t>,</w:t>
          </w:r>
          <w:r w:rsidRPr="00FF3DFF">
            <w:rPr>
              <w:color w:val="1F497D" w:themeColor="text2"/>
            </w:rPr>
            <w:t xml:space="preserve"> zlokalizowanego na terenie </w:t>
          </w:r>
          <w:r>
            <w:rPr>
              <w:color w:val="1F497D" w:themeColor="text2"/>
            </w:rPr>
            <w:t>C</w:t>
          </w:r>
          <w:r w:rsidRPr="00FF3DFF">
            <w:rPr>
              <w:color w:val="1F497D" w:themeColor="text2"/>
            </w:rPr>
            <w:t xml:space="preserve">entrum </w:t>
          </w:r>
          <w:r>
            <w:rPr>
              <w:color w:val="1F497D" w:themeColor="text2"/>
            </w:rPr>
            <w:t>S</w:t>
          </w:r>
          <w:r w:rsidRPr="00FF3DFF">
            <w:rPr>
              <w:color w:val="1F497D" w:themeColor="text2"/>
            </w:rPr>
            <w:t xml:space="preserve">portu </w:t>
          </w:r>
          <w:r>
            <w:rPr>
              <w:color w:val="1F497D" w:themeColor="text2"/>
            </w:rPr>
            <w:t xml:space="preserve">  A</w:t>
          </w:r>
          <w:r w:rsidRPr="00FF3DFF">
            <w:rPr>
              <w:color w:val="1F497D" w:themeColor="text2"/>
            </w:rPr>
            <w:t xml:space="preserve">kademickiego </w:t>
          </w:r>
          <w:r>
            <w:rPr>
              <w:color w:val="1F497D" w:themeColor="text2"/>
            </w:rPr>
            <w:t>P</w:t>
          </w:r>
          <w:r w:rsidRPr="00FF3DFF">
            <w:rPr>
              <w:color w:val="1F497D" w:themeColor="text2"/>
            </w:rPr>
            <w:t xml:space="preserve">olitechniki </w:t>
          </w:r>
          <w:r>
            <w:rPr>
              <w:color w:val="1F497D" w:themeColor="text2"/>
            </w:rPr>
            <w:t>G</w:t>
          </w:r>
          <w:r w:rsidRPr="00FF3DFF">
            <w:rPr>
              <w:color w:val="1F497D" w:themeColor="text2"/>
            </w:rPr>
            <w:t>dańskiej</w:t>
          </w:r>
          <w:r>
            <w:rPr>
              <w:color w:val="1F497D" w:themeColor="text2"/>
            </w:rPr>
            <w:t xml:space="preserve"> przy A</w:t>
          </w:r>
          <w:r w:rsidRPr="00FF3DFF">
            <w:rPr>
              <w:color w:val="1F497D" w:themeColor="text2"/>
            </w:rPr>
            <w:t>le</w:t>
          </w:r>
          <w:r>
            <w:rPr>
              <w:color w:val="1F497D" w:themeColor="text2"/>
            </w:rPr>
            <w:t>i Z</w:t>
          </w:r>
          <w:r w:rsidRPr="00FF3DFF">
            <w:rPr>
              <w:color w:val="1F497D" w:themeColor="text2"/>
            </w:rPr>
            <w:t>wycięstwa 12</w:t>
          </w:r>
          <w:r>
            <w:rPr>
              <w:color w:val="1F497D" w:themeColor="text2"/>
            </w:rPr>
            <w:t xml:space="preserve"> </w:t>
          </w:r>
          <w:r w:rsidRPr="00FF3DFF">
            <w:rPr>
              <w:color w:val="1F497D" w:themeColor="text2"/>
            </w:rPr>
            <w:t xml:space="preserve"> w </w:t>
          </w:r>
          <w:r>
            <w:rPr>
              <w:color w:val="1F497D" w:themeColor="text2"/>
            </w:rPr>
            <w:t>G</w:t>
          </w:r>
          <w:r w:rsidRPr="00FF3DFF">
            <w:rPr>
              <w:color w:val="1F497D" w:themeColor="text2"/>
            </w:rPr>
            <w:t>dańsku</w:t>
          </w:r>
        </w:p>
      </w:tc>
    </w:tr>
  </w:tbl>
  <w:p w14:paraId="7EB365BD" w14:textId="77777777" w:rsidR="00B456E6" w:rsidRDefault="00B456E6" w:rsidP="00BF53C8">
    <w:pPr>
      <w:pStyle w:val="Nagwek"/>
      <w:ind w:hanging="42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90121"/>
    <w:multiLevelType w:val="hybridMultilevel"/>
    <w:tmpl w:val="2BFE11C0"/>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 w15:restartNumberingAfterBreak="0">
    <w:nsid w:val="1E6B2A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961D8A"/>
    <w:multiLevelType w:val="hybridMultilevel"/>
    <w:tmpl w:val="1EAE52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0CF547E"/>
    <w:multiLevelType w:val="hybridMultilevel"/>
    <w:tmpl w:val="829864BA"/>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52AE337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3E552BD"/>
    <w:multiLevelType w:val="hybridMultilevel"/>
    <w:tmpl w:val="D7F221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54D777D0"/>
    <w:multiLevelType w:val="hybridMultilevel"/>
    <w:tmpl w:val="6A84CA5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74F55E8"/>
    <w:multiLevelType w:val="hybridMultilevel"/>
    <w:tmpl w:val="E6EEE95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828473932">
    <w:abstractNumId w:val="1"/>
  </w:num>
  <w:num w:numId="2" w16cid:durableId="395011577">
    <w:abstractNumId w:val="2"/>
  </w:num>
  <w:num w:numId="3" w16cid:durableId="1183276023">
    <w:abstractNumId w:val="4"/>
  </w:num>
  <w:num w:numId="4" w16cid:durableId="1639531063">
    <w:abstractNumId w:val="6"/>
  </w:num>
  <w:num w:numId="5" w16cid:durableId="1918318623">
    <w:abstractNumId w:val="7"/>
  </w:num>
  <w:num w:numId="6" w16cid:durableId="63795097">
    <w:abstractNumId w:val="0"/>
  </w:num>
  <w:num w:numId="7" w16cid:durableId="1426458871">
    <w:abstractNumId w:val="3"/>
  </w:num>
  <w:num w:numId="8" w16cid:durableId="9253075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2E47"/>
    <w:rsid w:val="00003ADC"/>
    <w:rsid w:val="00025DFC"/>
    <w:rsid w:val="00064251"/>
    <w:rsid w:val="00075B7E"/>
    <w:rsid w:val="00092375"/>
    <w:rsid w:val="000B50BD"/>
    <w:rsid w:val="000C359D"/>
    <w:rsid w:val="000D18FB"/>
    <w:rsid w:val="000D2F98"/>
    <w:rsid w:val="000E1DB4"/>
    <w:rsid w:val="000F7156"/>
    <w:rsid w:val="0015058B"/>
    <w:rsid w:val="00150B02"/>
    <w:rsid w:val="00150DBE"/>
    <w:rsid w:val="00162058"/>
    <w:rsid w:val="00184015"/>
    <w:rsid w:val="001864E1"/>
    <w:rsid w:val="00187D35"/>
    <w:rsid w:val="001B3AA0"/>
    <w:rsid w:val="001C04F1"/>
    <w:rsid w:val="001F1308"/>
    <w:rsid w:val="00215D69"/>
    <w:rsid w:val="00216282"/>
    <w:rsid w:val="00222613"/>
    <w:rsid w:val="0022373E"/>
    <w:rsid w:val="00233DA6"/>
    <w:rsid w:val="00240651"/>
    <w:rsid w:val="002429A7"/>
    <w:rsid w:val="0025545B"/>
    <w:rsid w:val="002774D2"/>
    <w:rsid w:val="002864BE"/>
    <w:rsid w:val="002921B1"/>
    <w:rsid w:val="00296943"/>
    <w:rsid w:val="002C072E"/>
    <w:rsid w:val="002F182F"/>
    <w:rsid w:val="003154BC"/>
    <w:rsid w:val="0032002C"/>
    <w:rsid w:val="00325B48"/>
    <w:rsid w:val="0032674A"/>
    <w:rsid w:val="00350608"/>
    <w:rsid w:val="00353E9B"/>
    <w:rsid w:val="00356271"/>
    <w:rsid w:val="00362A16"/>
    <w:rsid w:val="00370C20"/>
    <w:rsid w:val="0038599E"/>
    <w:rsid w:val="003B2E47"/>
    <w:rsid w:val="003D5740"/>
    <w:rsid w:val="003E4C2D"/>
    <w:rsid w:val="00410E86"/>
    <w:rsid w:val="00412703"/>
    <w:rsid w:val="004163D6"/>
    <w:rsid w:val="00442E97"/>
    <w:rsid w:val="004535DC"/>
    <w:rsid w:val="0045372F"/>
    <w:rsid w:val="004569B2"/>
    <w:rsid w:val="00481D72"/>
    <w:rsid w:val="004A324E"/>
    <w:rsid w:val="004A57AA"/>
    <w:rsid w:val="004C1833"/>
    <w:rsid w:val="004E2D55"/>
    <w:rsid w:val="004F05E2"/>
    <w:rsid w:val="004F7FA5"/>
    <w:rsid w:val="0056363E"/>
    <w:rsid w:val="005672B7"/>
    <w:rsid w:val="00567B42"/>
    <w:rsid w:val="005B4F23"/>
    <w:rsid w:val="005C0EEE"/>
    <w:rsid w:val="005F288A"/>
    <w:rsid w:val="005F4ADF"/>
    <w:rsid w:val="00601813"/>
    <w:rsid w:val="00607D7C"/>
    <w:rsid w:val="0064709F"/>
    <w:rsid w:val="0066542E"/>
    <w:rsid w:val="006869E9"/>
    <w:rsid w:val="006944B1"/>
    <w:rsid w:val="00697E58"/>
    <w:rsid w:val="006C0350"/>
    <w:rsid w:val="006D1708"/>
    <w:rsid w:val="006D7E20"/>
    <w:rsid w:val="006E34C0"/>
    <w:rsid w:val="00705706"/>
    <w:rsid w:val="00721D19"/>
    <w:rsid w:val="00730F14"/>
    <w:rsid w:val="00741E74"/>
    <w:rsid w:val="00744A19"/>
    <w:rsid w:val="0074544B"/>
    <w:rsid w:val="007600A4"/>
    <w:rsid w:val="00777C4D"/>
    <w:rsid w:val="007C0CDE"/>
    <w:rsid w:val="007D5436"/>
    <w:rsid w:val="007F070B"/>
    <w:rsid w:val="00805B9A"/>
    <w:rsid w:val="008105BE"/>
    <w:rsid w:val="00810D24"/>
    <w:rsid w:val="00812D86"/>
    <w:rsid w:val="00834C0C"/>
    <w:rsid w:val="00837F5A"/>
    <w:rsid w:val="00842806"/>
    <w:rsid w:val="00847EC0"/>
    <w:rsid w:val="0085710C"/>
    <w:rsid w:val="0085754F"/>
    <w:rsid w:val="0086635E"/>
    <w:rsid w:val="008933A9"/>
    <w:rsid w:val="008964F7"/>
    <w:rsid w:val="008A7B94"/>
    <w:rsid w:val="008A7E69"/>
    <w:rsid w:val="008B3E2A"/>
    <w:rsid w:val="008C0456"/>
    <w:rsid w:val="008C77DB"/>
    <w:rsid w:val="008D77CA"/>
    <w:rsid w:val="008F588C"/>
    <w:rsid w:val="008F66AE"/>
    <w:rsid w:val="008F7ACD"/>
    <w:rsid w:val="00900D75"/>
    <w:rsid w:val="00907C88"/>
    <w:rsid w:val="00916ECF"/>
    <w:rsid w:val="0092421F"/>
    <w:rsid w:val="00943D11"/>
    <w:rsid w:val="00974A92"/>
    <w:rsid w:val="009A1F87"/>
    <w:rsid w:val="009A2033"/>
    <w:rsid w:val="009A5567"/>
    <w:rsid w:val="009B47EF"/>
    <w:rsid w:val="009B6CB0"/>
    <w:rsid w:val="009C0BFD"/>
    <w:rsid w:val="009C2201"/>
    <w:rsid w:val="009E1440"/>
    <w:rsid w:val="009E5006"/>
    <w:rsid w:val="009F0473"/>
    <w:rsid w:val="009F6151"/>
    <w:rsid w:val="00A04D56"/>
    <w:rsid w:val="00A209A5"/>
    <w:rsid w:val="00A44767"/>
    <w:rsid w:val="00A62B2F"/>
    <w:rsid w:val="00A64E69"/>
    <w:rsid w:val="00A66700"/>
    <w:rsid w:val="00A6705D"/>
    <w:rsid w:val="00A71A22"/>
    <w:rsid w:val="00A73256"/>
    <w:rsid w:val="00A81D0D"/>
    <w:rsid w:val="00A83592"/>
    <w:rsid w:val="00A9017F"/>
    <w:rsid w:val="00AA69F5"/>
    <w:rsid w:val="00AC2BCB"/>
    <w:rsid w:val="00AC6892"/>
    <w:rsid w:val="00AD6C67"/>
    <w:rsid w:val="00AE0BA3"/>
    <w:rsid w:val="00AE786B"/>
    <w:rsid w:val="00B0536A"/>
    <w:rsid w:val="00B14112"/>
    <w:rsid w:val="00B3748A"/>
    <w:rsid w:val="00B456E6"/>
    <w:rsid w:val="00B771FD"/>
    <w:rsid w:val="00B8184B"/>
    <w:rsid w:val="00B82E90"/>
    <w:rsid w:val="00BB7FC7"/>
    <w:rsid w:val="00BF514F"/>
    <w:rsid w:val="00BF53C8"/>
    <w:rsid w:val="00C16157"/>
    <w:rsid w:val="00C25599"/>
    <w:rsid w:val="00C33F9D"/>
    <w:rsid w:val="00C42504"/>
    <w:rsid w:val="00C67E75"/>
    <w:rsid w:val="00C823FB"/>
    <w:rsid w:val="00CB5D7F"/>
    <w:rsid w:val="00CD1A52"/>
    <w:rsid w:val="00CF1CED"/>
    <w:rsid w:val="00D106C2"/>
    <w:rsid w:val="00D14ED7"/>
    <w:rsid w:val="00D16EEC"/>
    <w:rsid w:val="00D20006"/>
    <w:rsid w:val="00D40F64"/>
    <w:rsid w:val="00D44150"/>
    <w:rsid w:val="00D5277B"/>
    <w:rsid w:val="00D71D3B"/>
    <w:rsid w:val="00D872E0"/>
    <w:rsid w:val="00DA16AB"/>
    <w:rsid w:val="00DA527D"/>
    <w:rsid w:val="00DC2B85"/>
    <w:rsid w:val="00E16439"/>
    <w:rsid w:val="00E271B7"/>
    <w:rsid w:val="00E50773"/>
    <w:rsid w:val="00E53AD6"/>
    <w:rsid w:val="00E6779A"/>
    <w:rsid w:val="00E7077B"/>
    <w:rsid w:val="00E927FA"/>
    <w:rsid w:val="00EA3CF0"/>
    <w:rsid w:val="00EA3FBF"/>
    <w:rsid w:val="00ED0097"/>
    <w:rsid w:val="00F00FA1"/>
    <w:rsid w:val="00F02F90"/>
    <w:rsid w:val="00F34DB1"/>
    <w:rsid w:val="00F44215"/>
    <w:rsid w:val="00F4593F"/>
    <w:rsid w:val="00F47B00"/>
    <w:rsid w:val="00F510C8"/>
    <w:rsid w:val="00F55557"/>
    <w:rsid w:val="00F72DDA"/>
    <w:rsid w:val="00F92ABA"/>
    <w:rsid w:val="00FA49EB"/>
    <w:rsid w:val="00FB398C"/>
    <w:rsid w:val="00FF3DF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93EEC5"/>
  <w15:docId w15:val="{DBD758BA-E250-4890-B8C0-98AACAFC0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CD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E1DB4"/>
    <w:pPr>
      <w:ind w:left="720"/>
      <w:contextualSpacing/>
    </w:pPr>
  </w:style>
  <w:style w:type="paragraph" w:styleId="Nagwek">
    <w:name w:val="header"/>
    <w:basedOn w:val="Normalny"/>
    <w:link w:val="NagwekZnak"/>
    <w:uiPriority w:val="99"/>
    <w:unhideWhenUsed/>
    <w:rsid w:val="00A667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6700"/>
  </w:style>
  <w:style w:type="paragraph" w:styleId="Stopka">
    <w:name w:val="footer"/>
    <w:basedOn w:val="Normalny"/>
    <w:link w:val="StopkaZnak"/>
    <w:uiPriority w:val="99"/>
    <w:unhideWhenUsed/>
    <w:rsid w:val="00A667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6700"/>
  </w:style>
  <w:style w:type="paragraph" w:styleId="NormalnyWeb">
    <w:name w:val="Normal (Web)"/>
    <w:basedOn w:val="Normalny"/>
    <w:rsid w:val="00A66700"/>
    <w:pPr>
      <w:suppressAutoHyphens/>
      <w:spacing w:before="280" w:after="280" w:line="240" w:lineRule="auto"/>
    </w:pPr>
    <w:rPr>
      <w:rFonts w:ascii="Times New Roman" w:eastAsia="Times New Roman" w:hAnsi="Times New Roman" w:cs="Times New Roman"/>
      <w:sz w:val="24"/>
      <w:szCs w:val="24"/>
      <w:lang w:eastAsia="zh-CN"/>
    </w:rPr>
  </w:style>
  <w:style w:type="paragraph" w:styleId="Bezodstpw">
    <w:name w:val="No Spacing"/>
    <w:uiPriority w:val="1"/>
    <w:qFormat/>
    <w:rsid w:val="00296943"/>
    <w:pPr>
      <w:spacing w:after="0" w:line="240" w:lineRule="auto"/>
    </w:pPr>
    <w:rPr>
      <w:rFonts w:ascii="Calibri" w:eastAsia="Calibri" w:hAnsi="Calibri" w:cs="Times New Roman"/>
    </w:rPr>
  </w:style>
  <w:style w:type="table" w:styleId="Tabela-Siatka">
    <w:name w:val="Table Grid"/>
    <w:basedOn w:val="Standardowy"/>
    <w:uiPriority w:val="59"/>
    <w:unhideWhenUsed/>
    <w:rsid w:val="00BF5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66542E"/>
    <w:rPr>
      <w:sz w:val="16"/>
      <w:szCs w:val="16"/>
    </w:rPr>
  </w:style>
  <w:style w:type="paragraph" w:styleId="Tekstkomentarza">
    <w:name w:val="annotation text"/>
    <w:basedOn w:val="Normalny"/>
    <w:link w:val="TekstkomentarzaZnak"/>
    <w:uiPriority w:val="99"/>
    <w:semiHidden/>
    <w:unhideWhenUsed/>
    <w:rsid w:val="0066542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6542E"/>
    <w:rPr>
      <w:sz w:val="20"/>
      <w:szCs w:val="20"/>
    </w:rPr>
  </w:style>
  <w:style w:type="paragraph" w:styleId="Tematkomentarza">
    <w:name w:val="annotation subject"/>
    <w:basedOn w:val="Tekstkomentarza"/>
    <w:next w:val="Tekstkomentarza"/>
    <w:link w:val="TematkomentarzaZnak"/>
    <w:uiPriority w:val="99"/>
    <w:semiHidden/>
    <w:unhideWhenUsed/>
    <w:rsid w:val="0066542E"/>
    <w:rPr>
      <w:b/>
      <w:bCs/>
    </w:rPr>
  </w:style>
  <w:style w:type="character" w:customStyle="1" w:styleId="TematkomentarzaZnak">
    <w:name w:val="Temat komentarza Znak"/>
    <w:basedOn w:val="TekstkomentarzaZnak"/>
    <w:link w:val="Tematkomentarza"/>
    <w:uiPriority w:val="99"/>
    <w:semiHidden/>
    <w:rsid w:val="0066542E"/>
    <w:rPr>
      <w:b/>
      <w:bCs/>
      <w:sz w:val="20"/>
      <w:szCs w:val="20"/>
    </w:rPr>
  </w:style>
  <w:style w:type="paragraph" w:styleId="Tekstdymka">
    <w:name w:val="Balloon Text"/>
    <w:basedOn w:val="Normalny"/>
    <w:link w:val="TekstdymkaZnak"/>
    <w:uiPriority w:val="99"/>
    <w:semiHidden/>
    <w:unhideWhenUsed/>
    <w:rsid w:val="006654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6542E"/>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66542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6542E"/>
    <w:rPr>
      <w:sz w:val="20"/>
      <w:szCs w:val="20"/>
    </w:rPr>
  </w:style>
  <w:style w:type="character" w:styleId="Odwoanieprzypisudolnego">
    <w:name w:val="footnote reference"/>
    <w:basedOn w:val="Domylnaczcionkaakapitu"/>
    <w:uiPriority w:val="99"/>
    <w:semiHidden/>
    <w:unhideWhenUsed/>
    <w:rsid w:val="0066542E"/>
    <w:rPr>
      <w:vertAlign w:val="superscript"/>
    </w:rPr>
  </w:style>
  <w:style w:type="paragraph" w:styleId="Tekstpodstawowy">
    <w:name w:val="Body Text"/>
    <w:basedOn w:val="Normalny"/>
    <w:link w:val="TekstpodstawowyZnak"/>
    <w:rsid w:val="00370C20"/>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370C20"/>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778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B87C-AF14-4DB2-ADA3-BE668AFB1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1711</Words>
  <Characters>10271</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Karolina Borkowska</cp:lastModifiedBy>
  <cp:revision>8</cp:revision>
  <cp:lastPrinted>2018-11-23T07:30:00Z</cp:lastPrinted>
  <dcterms:created xsi:type="dcterms:W3CDTF">2018-11-27T05:21:00Z</dcterms:created>
  <dcterms:modified xsi:type="dcterms:W3CDTF">2024-07-05T13:09:00Z</dcterms:modified>
</cp:coreProperties>
</file>